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4A7D91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F0455E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Przebudowa napowietrznej na kablową linii oświetlenia ulicznego przy ul. Przy Murach, Tylnej, Partyzantów, Na Probostwo, Pl. 11 -Listopada w Iłży</w:t>
      </w:r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</w:t>
      </w:r>
      <w:r w:rsidR="0041467B">
        <w:rPr>
          <w:rFonts w:ascii="Times New Roman" w:hAnsi="Times New Roman" w:cs="Times New Roman"/>
          <w:sz w:val="24"/>
          <w:szCs w:val="24"/>
        </w:rPr>
        <w:t>Przemysława Burka</w:t>
      </w:r>
      <w:r>
        <w:rPr>
          <w:rFonts w:ascii="Times New Roman" w:hAnsi="Times New Roman" w:cs="Times New Roman"/>
          <w:sz w:val="24"/>
          <w:szCs w:val="24"/>
        </w:rPr>
        <w:t xml:space="preserve"> -  Burmistrz</w:t>
      </w:r>
      <w:r w:rsidR="004146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</w:t>
      </w:r>
      <w:r w:rsidR="004713A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4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86349E" w:rsidRDefault="0086349E" w:rsidP="008634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349E" w:rsidRPr="00516C47" w:rsidRDefault="0086349E" w:rsidP="008634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</w:t>
      </w:r>
      <w:r w:rsidR="0041467B">
        <w:rPr>
          <w:rFonts w:ascii="Times New Roman" w:hAnsi="Times New Roman" w:cs="Times New Roman"/>
          <w:sz w:val="24"/>
          <w:szCs w:val="24"/>
        </w:rPr>
        <w:t>rta Gwarancyjna jest integralna</w:t>
      </w:r>
      <w:r>
        <w:rPr>
          <w:rFonts w:ascii="Times New Roman" w:hAnsi="Times New Roman" w:cs="Times New Roman"/>
          <w:sz w:val="24"/>
          <w:szCs w:val="24"/>
        </w:rPr>
        <w:t xml:space="preserve">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3AF">
        <w:rPr>
          <w:rFonts w:ascii="Times New Roman" w:hAnsi="Times New Roman" w:cs="Times New Roman"/>
          <w:sz w:val="24"/>
          <w:szCs w:val="24"/>
        </w:rPr>
        <w:t>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="004713AF">
        <w:rPr>
          <w:rFonts w:ascii="Times New Roman" w:hAnsi="Times New Roman" w:cs="Times New Roman"/>
          <w:sz w:val="24"/>
          <w:szCs w:val="24"/>
        </w:rPr>
        <w:t>...</w:t>
      </w:r>
    </w:p>
    <w:p w:rsidR="004713AF" w:rsidRDefault="004713AF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1467B"/>
    <w:rsid w:val="004713AF"/>
    <w:rsid w:val="004A7D91"/>
    <w:rsid w:val="00516C47"/>
    <w:rsid w:val="00755989"/>
    <w:rsid w:val="008571A3"/>
    <w:rsid w:val="0086349E"/>
    <w:rsid w:val="00886564"/>
    <w:rsid w:val="00AD1BF1"/>
    <w:rsid w:val="00B55DD7"/>
    <w:rsid w:val="00CA089A"/>
    <w:rsid w:val="00EA3613"/>
    <w:rsid w:val="00ED78B3"/>
    <w:rsid w:val="00F0455E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09B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Rafał Dąbrowski</cp:lastModifiedBy>
  <cp:revision>15</cp:revision>
  <cp:lastPrinted>2017-03-17T10:42:00Z</cp:lastPrinted>
  <dcterms:created xsi:type="dcterms:W3CDTF">2016-09-06T09:02:00Z</dcterms:created>
  <dcterms:modified xsi:type="dcterms:W3CDTF">2019-01-21T08:15:00Z</dcterms:modified>
</cp:coreProperties>
</file>