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C51" w:rsidRDefault="008D4C70" w:rsidP="00B21D95">
      <w:pPr>
        <w:jc w:val="center"/>
        <w:rPr>
          <w:sz w:val="24"/>
          <w:szCs w:val="24"/>
        </w:rPr>
      </w:pPr>
      <w:r>
        <w:rPr>
          <w:sz w:val="24"/>
          <w:szCs w:val="24"/>
        </w:rPr>
        <w:t>Uchwała nr XVIII/104/16</w:t>
      </w:r>
    </w:p>
    <w:p w:rsidR="00B21D95" w:rsidRDefault="00B21D95" w:rsidP="00B21D95">
      <w:pPr>
        <w:jc w:val="center"/>
        <w:rPr>
          <w:sz w:val="24"/>
          <w:szCs w:val="24"/>
        </w:rPr>
      </w:pPr>
      <w:r>
        <w:rPr>
          <w:sz w:val="24"/>
          <w:szCs w:val="24"/>
        </w:rPr>
        <w:t>Rady Miejskiej w Iłży</w:t>
      </w:r>
    </w:p>
    <w:p w:rsidR="00B21D95" w:rsidRDefault="008D4C70" w:rsidP="00B21D9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dnia 28 stycznia 2016 r. </w:t>
      </w:r>
      <w:bookmarkStart w:id="0" w:name="_GoBack"/>
      <w:bookmarkEnd w:id="0"/>
    </w:p>
    <w:p w:rsidR="00B21D95" w:rsidRDefault="00B21D95" w:rsidP="00993138">
      <w:pPr>
        <w:jc w:val="both"/>
        <w:rPr>
          <w:sz w:val="24"/>
          <w:szCs w:val="24"/>
        </w:rPr>
      </w:pPr>
      <w:r>
        <w:rPr>
          <w:sz w:val="24"/>
          <w:szCs w:val="24"/>
        </w:rPr>
        <w:t>w sprawie określenia kryteriów rekrutacji do klas pierwszych publicznych szkół podstawowych oraz klas pierwszych Publicznego</w:t>
      </w:r>
      <w:r w:rsidR="0008343B">
        <w:rPr>
          <w:sz w:val="24"/>
          <w:szCs w:val="24"/>
        </w:rPr>
        <w:t xml:space="preserve"> Gimnazjum Gminnego prowadzonych</w:t>
      </w:r>
      <w:r>
        <w:rPr>
          <w:sz w:val="24"/>
          <w:szCs w:val="24"/>
        </w:rPr>
        <w:t xml:space="preserve"> przez Gminę Iłża, dla kandydatów zamieszkałych poza obwodem danej szkoły, ustalenia liczby punktów za każde </w:t>
      </w:r>
      <w:r w:rsidR="005E3B2D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z tych kryteriów oraz określenia dokumentów niezbędnych do ich potwierdzenia. </w:t>
      </w:r>
    </w:p>
    <w:p w:rsidR="00E2125C" w:rsidRDefault="00E2125C" w:rsidP="00993138">
      <w:pPr>
        <w:jc w:val="both"/>
        <w:rPr>
          <w:sz w:val="24"/>
          <w:szCs w:val="24"/>
        </w:rPr>
      </w:pPr>
    </w:p>
    <w:p w:rsidR="00E2125C" w:rsidRDefault="00E2125C" w:rsidP="0099313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E3B2D">
        <w:rPr>
          <w:sz w:val="24"/>
          <w:szCs w:val="24"/>
        </w:rPr>
        <w:t>Na podstawie art. 18 ust. 2 pkt</w:t>
      </w:r>
      <w:r>
        <w:rPr>
          <w:sz w:val="24"/>
          <w:szCs w:val="24"/>
        </w:rPr>
        <w:t xml:space="preserve"> 15 i art. 40 ustawy z dnia 8 marca 1990 r. o samorządzie gminnym (Dz. U. z 2015 r. poz. 1515</w:t>
      </w:r>
      <w:r w:rsidR="005E3B2D">
        <w:rPr>
          <w:sz w:val="24"/>
          <w:szCs w:val="24"/>
        </w:rPr>
        <w:t>,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oraz art. 20 a ust. 1, art. 20 e ust. 3</w:t>
      </w:r>
      <w:r w:rsidR="005E3B2D">
        <w:rPr>
          <w:sz w:val="24"/>
          <w:szCs w:val="24"/>
        </w:rPr>
        <w:t xml:space="preserve">,4,7                          w związku z art. 20 </w:t>
      </w:r>
      <w:proofErr w:type="spellStart"/>
      <w:r w:rsidR="005E3B2D">
        <w:rPr>
          <w:sz w:val="24"/>
          <w:szCs w:val="24"/>
        </w:rPr>
        <w:t>zf</w:t>
      </w:r>
      <w:proofErr w:type="spellEnd"/>
      <w:r w:rsidR="005E3B2D">
        <w:rPr>
          <w:sz w:val="24"/>
          <w:szCs w:val="24"/>
        </w:rPr>
        <w:t xml:space="preserve"> pkt</w:t>
      </w:r>
      <w:r>
        <w:rPr>
          <w:sz w:val="24"/>
          <w:szCs w:val="24"/>
        </w:rPr>
        <w:t xml:space="preserve"> 1 ustawy z dnia 7 września 1991 r. o systemie oświaty </w:t>
      </w:r>
      <w:r w:rsidR="00800F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 Dz. U. z </w:t>
      </w:r>
      <w:r w:rsidR="005E3B2D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2015 r. poz. 2156</w:t>
      </w:r>
      <w:r w:rsidR="005E3B2D">
        <w:rPr>
          <w:sz w:val="24"/>
          <w:szCs w:val="24"/>
        </w:rPr>
        <w:t>,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uchwala się, co następuje:</w:t>
      </w:r>
    </w:p>
    <w:p w:rsidR="00800F73" w:rsidRDefault="00800F73" w:rsidP="00993138">
      <w:pPr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  <w:r w:rsidR="005E3B2D">
        <w:rPr>
          <w:sz w:val="24"/>
          <w:szCs w:val="24"/>
        </w:rPr>
        <w:t>.</w:t>
      </w:r>
    </w:p>
    <w:p w:rsidR="00800F73" w:rsidRDefault="00800F73" w:rsidP="00993138">
      <w:pPr>
        <w:jc w:val="both"/>
        <w:rPr>
          <w:sz w:val="24"/>
          <w:szCs w:val="24"/>
        </w:rPr>
      </w:pPr>
      <w:r>
        <w:rPr>
          <w:sz w:val="24"/>
          <w:szCs w:val="24"/>
        </w:rPr>
        <w:t>Ustala się kryteria rekrutacji kandydatów zamieszkałych poza obwodem szkoły do klas pierwszych publicznych szkół podstawowych, dla których Gmina Iłża jest organem prowadzącym i ilość punktów w postępowaniu rekrutacyjnym:</w:t>
      </w:r>
    </w:p>
    <w:p w:rsidR="00800F73" w:rsidRDefault="00800F73" w:rsidP="0099313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zamieszkanie kandydata</w:t>
      </w:r>
      <w:r w:rsidR="005E3B2D">
        <w:rPr>
          <w:sz w:val="24"/>
          <w:szCs w:val="24"/>
        </w:rPr>
        <w:t xml:space="preserve"> na terenie Gminy Iłża – 10 pkt;</w:t>
      </w:r>
    </w:p>
    <w:p w:rsidR="00800F73" w:rsidRDefault="00800F73" w:rsidP="0099313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rodzeństwo kandydata w danym roku szkolnym uc</w:t>
      </w:r>
      <w:r w:rsidR="005E3B2D">
        <w:rPr>
          <w:sz w:val="24"/>
          <w:szCs w:val="24"/>
        </w:rPr>
        <w:t>zęszcza do danej szkoły – 9 pkt;</w:t>
      </w:r>
    </w:p>
    <w:p w:rsidR="00800F73" w:rsidRDefault="00800F73" w:rsidP="0099313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rodzeństwo kandydata uczę</w:t>
      </w:r>
      <w:r w:rsidR="005E3B2D">
        <w:rPr>
          <w:sz w:val="24"/>
          <w:szCs w:val="24"/>
        </w:rPr>
        <w:t>szczało do danej szkoły – 8 pkt;</w:t>
      </w:r>
    </w:p>
    <w:p w:rsidR="00B4585F" w:rsidRDefault="00B4585F" w:rsidP="0099313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posiadanie przez kandydata członków rodziny zamieszkałych w obwodzie szkoły wspierających rodziców w zapewnieniu należytej opieki – 7 pkt.</w:t>
      </w:r>
    </w:p>
    <w:p w:rsidR="00B4585F" w:rsidRPr="00993138" w:rsidRDefault="00B4585F" w:rsidP="00694583">
      <w:pPr>
        <w:ind w:left="360"/>
        <w:jc w:val="center"/>
        <w:rPr>
          <w:sz w:val="24"/>
          <w:szCs w:val="24"/>
        </w:rPr>
      </w:pPr>
      <w:r w:rsidRPr="00993138">
        <w:rPr>
          <w:sz w:val="24"/>
          <w:szCs w:val="24"/>
        </w:rPr>
        <w:t>§ 2</w:t>
      </w:r>
      <w:r w:rsidR="005E3B2D">
        <w:rPr>
          <w:sz w:val="24"/>
          <w:szCs w:val="24"/>
        </w:rPr>
        <w:t>.</w:t>
      </w:r>
    </w:p>
    <w:p w:rsidR="00B4585F" w:rsidRDefault="00B4585F" w:rsidP="00993138">
      <w:pPr>
        <w:jc w:val="both"/>
        <w:rPr>
          <w:sz w:val="24"/>
          <w:szCs w:val="24"/>
        </w:rPr>
      </w:pPr>
      <w:r>
        <w:rPr>
          <w:sz w:val="24"/>
          <w:szCs w:val="24"/>
        </w:rPr>
        <w:t>Ustala się kryteria rekrutacji kandydatów zamieszkałych poza obwodem szkoły do klas pierwszych publicznego gimnazjum, dla których Gmina Iłża jest organem prowadzącym i ilości punktów w postępowaniu rekrutacyjnym:</w:t>
      </w:r>
    </w:p>
    <w:p w:rsidR="00B4585F" w:rsidRDefault="00B4585F" w:rsidP="0099313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zamieszkanie kandydata</w:t>
      </w:r>
      <w:r w:rsidR="005E3B2D">
        <w:rPr>
          <w:sz w:val="24"/>
          <w:szCs w:val="24"/>
        </w:rPr>
        <w:t xml:space="preserve"> na terenie Gminy Iłża – 10 pkt;</w:t>
      </w:r>
    </w:p>
    <w:p w:rsidR="00993138" w:rsidRDefault="00B4585F" w:rsidP="0099313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rodzeństwo kandydata </w:t>
      </w:r>
      <w:r w:rsidR="00993138">
        <w:rPr>
          <w:sz w:val="24"/>
          <w:szCs w:val="24"/>
        </w:rPr>
        <w:t xml:space="preserve">w danym roku szkolnym uczęszcza do danej szkoły – 9 </w:t>
      </w:r>
      <w:r w:rsidR="0008343B">
        <w:rPr>
          <w:sz w:val="24"/>
          <w:szCs w:val="24"/>
        </w:rPr>
        <w:t>pkt</w:t>
      </w:r>
      <w:r w:rsidR="005E3B2D">
        <w:rPr>
          <w:sz w:val="24"/>
          <w:szCs w:val="24"/>
        </w:rPr>
        <w:t>;</w:t>
      </w:r>
    </w:p>
    <w:p w:rsidR="00993138" w:rsidRDefault="00993138" w:rsidP="0099313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rodzeństwo kandydata uczę</w:t>
      </w:r>
      <w:r w:rsidR="005E3B2D">
        <w:rPr>
          <w:sz w:val="24"/>
          <w:szCs w:val="24"/>
        </w:rPr>
        <w:t>szczało do danej szkoły – 8 pkt;</w:t>
      </w:r>
    </w:p>
    <w:p w:rsidR="00993138" w:rsidRDefault="00993138" w:rsidP="0099313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posiadanie przez kandydata członków rodziny zamieszkałych w obwodzie szkoły wspierających rodziców w zapew</w:t>
      </w:r>
      <w:r w:rsidR="005E3B2D">
        <w:rPr>
          <w:sz w:val="24"/>
          <w:szCs w:val="24"/>
        </w:rPr>
        <w:t>nieniu należytej opieki – 7 pkt.</w:t>
      </w:r>
    </w:p>
    <w:p w:rsidR="00993138" w:rsidRDefault="00993138" w:rsidP="00694583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  <w:r w:rsidR="005E3B2D">
        <w:rPr>
          <w:sz w:val="24"/>
          <w:szCs w:val="24"/>
        </w:rPr>
        <w:t>.</w:t>
      </w:r>
    </w:p>
    <w:p w:rsidR="00993138" w:rsidRDefault="00993138" w:rsidP="0099313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Ustala się, iż dokumentami potwierdzającymi spełnienie kryteriów, o których mowa </w:t>
      </w:r>
      <w:r w:rsidR="005E3B2D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w § 1 są oświadczenia rodziców/ opiekunów prawnych.</w:t>
      </w:r>
    </w:p>
    <w:p w:rsidR="00993138" w:rsidRDefault="00993138" w:rsidP="0099313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Ustala się, iż dokumentami potwierdzającymi spełnienie kryteriów</w:t>
      </w:r>
      <w:r w:rsidR="005E3B2D">
        <w:rPr>
          <w:sz w:val="24"/>
          <w:szCs w:val="24"/>
        </w:rPr>
        <w:t xml:space="preserve">, o których mowa                 </w:t>
      </w:r>
      <w:r w:rsidR="006136C4">
        <w:rPr>
          <w:sz w:val="24"/>
          <w:szCs w:val="24"/>
        </w:rPr>
        <w:t xml:space="preserve">w § 2 </w:t>
      </w:r>
      <w:r>
        <w:rPr>
          <w:sz w:val="24"/>
          <w:szCs w:val="24"/>
        </w:rPr>
        <w:t xml:space="preserve"> są oświadczenia rodziców/ opiekunów prawnych.</w:t>
      </w:r>
    </w:p>
    <w:p w:rsidR="00993138" w:rsidRDefault="00993138" w:rsidP="00694583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  <w:r w:rsidR="005E3B2D">
        <w:rPr>
          <w:sz w:val="24"/>
          <w:szCs w:val="24"/>
        </w:rPr>
        <w:t>.</w:t>
      </w:r>
    </w:p>
    <w:p w:rsidR="00993138" w:rsidRDefault="00993138" w:rsidP="00993138">
      <w:pPr>
        <w:jc w:val="both"/>
        <w:rPr>
          <w:sz w:val="24"/>
          <w:szCs w:val="24"/>
        </w:rPr>
      </w:pPr>
      <w:r>
        <w:rPr>
          <w:sz w:val="24"/>
          <w:szCs w:val="24"/>
        </w:rPr>
        <w:t>Wykonanie uchwały powierza się Burmistrzowi Iłży.</w:t>
      </w:r>
    </w:p>
    <w:p w:rsidR="00993138" w:rsidRDefault="00993138" w:rsidP="00694583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5</w:t>
      </w:r>
      <w:r w:rsidR="005E3B2D">
        <w:rPr>
          <w:sz w:val="24"/>
          <w:szCs w:val="24"/>
        </w:rPr>
        <w:t>.</w:t>
      </w:r>
    </w:p>
    <w:p w:rsidR="00993138" w:rsidRDefault="00993138" w:rsidP="0099313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Uchwała wchodzi w życie po upływie 14 dni od jej ogłoszenia w Dzienniku Urzędowym Województwa Mazowieckiego.</w:t>
      </w:r>
    </w:p>
    <w:p w:rsidR="00993138" w:rsidRPr="00993138" w:rsidRDefault="00993138" w:rsidP="00993138">
      <w:pPr>
        <w:jc w:val="both"/>
        <w:rPr>
          <w:sz w:val="24"/>
          <w:szCs w:val="24"/>
        </w:rPr>
      </w:pPr>
    </w:p>
    <w:p w:rsidR="00993138" w:rsidRPr="00993138" w:rsidRDefault="00993138" w:rsidP="00993138">
      <w:pPr>
        <w:jc w:val="both"/>
        <w:rPr>
          <w:sz w:val="24"/>
          <w:szCs w:val="24"/>
        </w:rPr>
      </w:pPr>
    </w:p>
    <w:p w:rsidR="00B4585F" w:rsidRPr="00B4585F" w:rsidRDefault="00B4585F" w:rsidP="00993138">
      <w:pPr>
        <w:pStyle w:val="Akapitzlist"/>
        <w:jc w:val="both"/>
        <w:rPr>
          <w:sz w:val="24"/>
          <w:szCs w:val="24"/>
        </w:rPr>
      </w:pPr>
    </w:p>
    <w:p w:rsidR="00B4585F" w:rsidRDefault="00B4585F" w:rsidP="00993138">
      <w:pPr>
        <w:jc w:val="both"/>
        <w:rPr>
          <w:sz w:val="24"/>
          <w:szCs w:val="24"/>
        </w:rPr>
      </w:pPr>
    </w:p>
    <w:p w:rsidR="00800F73" w:rsidRPr="00B4585F" w:rsidRDefault="00800F73" w:rsidP="00993138">
      <w:pPr>
        <w:jc w:val="both"/>
        <w:rPr>
          <w:sz w:val="24"/>
          <w:szCs w:val="24"/>
        </w:rPr>
      </w:pPr>
      <w:r w:rsidRPr="00B4585F">
        <w:rPr>
          <w:sz w:val="24"/>
          <w:szCs w:val="24"/>
        </w:rPr>
        <w:t xml:space="preserve"> </w:t>
      </w:r>
    </w:p>
    <w:p w:rsidR="00E2125C" w:rsidRPr="00B21D95" w:rsidRDefault="00E2125C" w:rsidP="00993138">
      <w:pPr>
        <w:jc w:val="both"/>
        <w:rPr>
          <w:sz w:val="24"/>
          <w:szCs w:val="24"/>
        </w:rPr>
      </w:pPr>
    </w:p>
    <w:sectPr w:rsidR="00E2125C" w:rsidRPr="00B21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C489D"/>
    <w:multiLevelType w:val="hybridMultilevel"/>
    <w:tmpl w:val="0D3E7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71EC7"/>
    <w:multiLevelType w:val="hybridMultilevel"/>
    <w:tmpl w:val="529821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85FE8"/>
    <w:multiLevelType w:val="hybridMultilevel"/>
    <w:tmpl w:val="D6785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95"/>
    <w:rsid w:val="0008343B"/>
    <w:rsid w:val="005E3B2D"/>
    <w:rsid w:val="006136C4"/>
    <w:rsid w:val="00694583"/>
    <w:rsid w:val="00800F73"/>
    <w:rsid w:val="008D4C70"/>
    <w:rsid w:val="00993138"/>
    <w:rsid w:val="00A74C51"/>
    <w:rsid w:val="00B21D95"/>
    <w:rsid w:val="00B4585F"/>
    <w:rsid w:val="00E2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39209-2051-4A46-92C9-1230B19D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F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3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25DE6-1BCE-46BD-ADB4-968CB4ABE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2016-02-01T10:47:00Z</cp:lastPrinted>
  <dcterms:created xsi:type="dcterms:W3CDTF">2016-01-22T13:16:00Z</dcterms:created>
  <dcterms:modified xsi:type="dcterms:W3CDTF">2016-02-01T10:51:00Z</dcterms:modified>
</cp:coreProperties>
</file>