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E3" w:rsidRPr="00F041E3" w:rsidRDefault="00F041E3" w:rsidP="00F04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F041E3">
        <w:rPr>
          <w:rFonts w:ascii="Calibri" w:hAnsi="Calibri" w:cs="Calibri"/>
        </w:rPr>
        <w:t>Objaśnienia do WPF</w:t>
      </w:r>
    </w:p>
    <w:p w:rsidR="00F041E3" w:rsidRPr="00F041E3" w:rsidRDefault="00F041E3" w:rsidP="00F04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F041E3">
        <w:rPr>
          <w:rFonts w:ascii="Calibri" w:hAnsi="Calibri" w:cs="Calibri"/>
        </w:rPr>
        <w:t>Zmiana WPF Gminy Iłża na lata 2018-2026 podyktowana jest wprowadzeniem kwoty wolnych środków  - 69 433,87 zł i zmianą deficytu budżetowego</w:t>
      </w:r>
    </w:p>
    <w:p w:rsidR="00F041E3" w:rsidRPr="00F041E3" w:rsidRDefault="00F041E3" w:rsidP="00F04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F041E3">
        <w:rPr>
          <w:rFonts w:ascii="Calibri" w:hAnsi="Calibri" w:cs="Calibri"/>
        </w:rPr>
        <w:t>Zmiana załącznika wykaz przedsięwzięć do WPF wiąże się ze zmiana limitu wydatków 2018 roku przedsięwzięcia Konserwacja i adaptacja ruin zamku górnego w Iłży – zmniejszenie o kwotę  180 266,13 zł.</w:t>
      </w:r>
    </w:p>
    <w:p w:rsidR="00F041E3" w:rsidRPr="00F041E3" w:rsidRDefault="00F041E3" w:rsidP="00F041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F041E3">
        <w:rPr>
          <w:rFonts w:ascii="Calibri" w:hAnsi="Calibri" w:cs="Calibri"/>
        </w:rPr>
        <w:t>Wprowadzone zmiany  w niewielkim stopniu  wpływają na zmianę wskaźnika spłaty zadłużenia.</w:t>
      </w:r>
    </w:p>
    <w:p w:rsidR="00F041E3" w:rsidRPr="00F041E3" w:rsidRDefault="00F041E3" w:rsidP="00F041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78CD" w:rsidRDefault="004D78CD">
      <w:bookmarkStart w:id="0" w:name="_GoBack"/>
      <w:bookmarkEnd w:id="0"/>
    </w:p>
    <w:sectPr w:rsidR="004D78CD" w:rsidSect="00165EE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E3"/>
    <w:rsid w:val="004D78CD"/>
    <w:rsid w:val="00F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482A-8504-4172-BF4D-A37B70D8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2019-01-04T11:47:00Z</dcterms:created>
  <dcterms:modified xsi:type="dcterms:W3CDTF">2019-01-04T11:47:00Z</dcterms:modified>
</cp:coreProperties>
</file>