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B3" w:rsidRDefault="00ED78B3" w:rsidP="00ED7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CA089A" w:rsidRPr="000E2B16" w:rsidRDefault="00CA089A" w:rsidP="004A7D91">
      <w:pPr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CA089A">
        <w:rPr>
          <w:rFonts w:ascii="Times New Roman" w:eastAsia="Cambria" w:hAnsi="Times New Roman" w:cs="Times New Roman"/>
          <w:b/>
          <w:sz w:val="24"/>
          <w:szCs w:val="24"/>
        </w:rPr>
        <w:t>„</w:t>
      </w:r>
      <w:r w:rsidR="004A7D91">
        <w:rPr>
          <w:rFonts w:ascii="Times New Roman" w:eastAsia="Cambria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Budowa świetlicy wiejskiej oraz przydomowej oczyszczalni ścieków na działkach nr </w:t>
      </w:r>
      <w:proofErr w:type="spellStart"/>
      <w:r w:rsidR="004A7D91">
        <w:rPr>
          <w:rFonts w:ascii="Times New Roman" w:eastAsia="Cambria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ewid</w:t>
      </w:r>
      <w:proofErr w:type="spellEnd"/>
      <w:r w:rsidR="004A7D91">
        <w:rPr>
          <w:rFonts w:ascii="Times New Roman" w:eastAsia="Cambria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. 527/1 i 527/2 w miejscowości Białka, obręb Kolonia Seredzice, gm. Iłża.</w:t>
      </w:r>
      <w:r w:rsidRPr="000E2B16">
        <w:rPr>
          <w:rFonts w:ascii="Times New Roman" w:eastAsia="Cambria" w:hAnsi="Times New Roman" w:cs="Times New Roman"/>
          <w:b/>
          <w:sz w:val="24"/>
          <w:szCs w:val="24"/>
        </w:rPr>
        <w:t>”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Iłża, reprezentowana przez Andrzej Moskwa -  Burmistrz Iłży, ul. Rynek 11, 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IGP… 201</w:t>
      </w:r>
      <w:r w:rsidR="00B55DD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dnia …………….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parametry techniczne inwestycji i inne.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odbioru ostatecznego: dzień ………… miesiąc ……….. rok ……………….</w:t>
      </w:r>
    </w:p>
    <w:p w:rsidR="00ED78B3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(gwarant) oświadcza, że objęty niniejszą kartą gwarancyjną przedmiot gwarancji został wykonany zgodnie z umową, dokumentacja projektową, zasadami współczesnej wiedzy technicznej,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….. miesięcy,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przeglądu gwarancyjnego sporządzony będzie  protokół przeglądu pogwarancyjny, w co najmniej 2-ch egzemplarzach, po jednym dla Zamawiającego  (Uprawnionego) i dla Wykonawcy (Gwaranta). W przypadku nieobecności przedstawicieli Wykonawcy (Gwaranta), Zamawiający </w:t>
      </w:r>
      <w:r>
        <w:rPr>
          <w:rFonts w:ascii="Times New Roman" w:hAnsi="Times New Roman" w:cs="Times New Roman"/>
          <w:sz w:val="24"/>
          <w:szCs w:val="24"/>
        </w:rPr>
        <w:lastRenderedPageBreak/>
        <w:t>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>a następnie potwierdza zgłoszenie faxem lub e-mailem na wskazane  numery telefonów i adresy. Wykonawca (Gwarant) jest zobowiązany potwierdzić 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dokonywane jest telefonicznie i za pośrednictwem faxu lub 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>Wykonawcy (Gwaranta) –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4A7D9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B3"/>
    <w:rsid w:val="0001633F"/>
    <w:rsid w:val="000E2B16"/>
    <w:rsid w:val="0023272A"/>
    <w:rsid w:val="002C4825"/>
    <w:rsid w:val="002D6C67"/>
    <w:rsid w:val="002D6F99"/>
    <w:rsid w:val="004A7D91"/>
    <w:rsid w:val="00516C47"/>
    <w:rsid w:val="00886564"/>
    <w:rsid w:val="00AD1BF1"/>
    <w:rsid w:val="00B55DD7"/>
    <w:rsid w:val="00CA089A"/>
    <w:rsid w:val="00EA3613"/>
    <w:rsid w:val="00ED78B3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69CF9-4C79-42D3-BE2F-A5B6C440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Administrator</cp:lastModifiedBy>
  <cp:revision>9</cp:revision>
  <cp:lastPrinted>2017-03-17T10:42:00Z</cp:lastPrinted>
  <dcterms:created xsi:type="dcterms:W3CDTF">2016-09-06T09:02:00Z</dcterms:created>
  <dcterms:modified xsi:type="dcterms:W3CDTF">2017-03-17T10:42:00Z</dcterms:modified>
</cp:coreProperties>
</file>